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1D0" w:rsidRDefault="003A36A3" w:rsidP="007D11D0">
      <w:pPr>
        <w:pStyle w:val="ListParagraph"/>
        <w:spacing w:line="240" w:lineRule="auto"/>
        <w:ind w:left="0"/>
        <w:jc w:val="center"/>
        <w:rPr>
          <w:rFonts w:ascii="Arial" w:hAnsi="Arial" w:cs="Arial"/>
          <w:b/>
          <w:sz w:val="32"/>
          <w:szCs w:val="32"/>
        </w:rPr>
      </w:pPr>
      <w:r>
        <w:rPr>
          <w:rFonts w:ascii="Arial" w:hAnsi="Arial" w:cs="Arial"/>
          <w:b/>
          <w:sz w:val="32"/>
          <w:szCs w:val="32"/>
        </w:rPr>
        <w:t>201</w:t>
      </w:r>
      <w:r w:rsidR="00E53E27">
        <w:rPr>
          <w:rFonts w:ascii="Arial" w:hAnsi="Arial" w:cs="Arial"/>
          <w:b/>
          <w:sz w:val="32"/>
          <w:szCs w:val="32"/>
        </w:rPr>
        <w:t>4</w:t>
      </w:r>
      <w:r>
        <w:rPr>
          <w:rFonts w:ascii="Arial" w:hAnsi="Arial" w:cs="Arial"/>
          <w:b/>
          <w:sz w:val="32"/>
          <w:szCs w:val="32"/>
        </w:rPr>
        <w:t>-201</w:t>
      </w:r>
      <w:r w:rsidR="00E53E27">
        <w:rPr>
          <w:rFonts w:ascii="Arial" w:hAnsi="Arial" w:cs="Arial"/>
          <w:b/>
          <w:sz w:val="32"/>
          <w:szCs w:val="32"/>
        </w:rPr>
        <w:t>5</w:t>
      </w:r>
    </w:p>
    <w:p w:rsidR="007D11D0" w:rsidRPr="00DC16F6" w:rsidRDefault="00C65B93" w:rsidP="007D11D0">
      <w:pPr>
        <w:pStyle w:val="ListParagraph"/>
        <w:spacing w:line="240" w:lineRule="auto"/>
        <w:ind w:left="0"/>
        <w:jc w:val="center"/>
        <w:rPr>
          <w:rFonts w:ascii="Arial" w:hAnsi="Arial" w:cs="Arial"/>
          <w:b/>
          <w:sz w:val="32"/>
          <w:szCs w:val="32"/>
        </w:rPr>
      </w:pPr>
      <w:r>
        <w:rPr>
          <w:rFonts w:ascii="Arial" w:hAnsi="Arial" w:cs="Arial"/>
          <w:b/>
          <w:sz w:val="32"/>
          <w:szCs w:val="32"/>
        </w:rPr>
        <w:t>Four-Year Plan</w:t>
      </w:r>
      <w:bookmarkStart w:id="0" w:name="_GoBack"/>
      <w:bookmarkEnd w:id="0"/>
      <w:r w:rsidR="007D11D0">
        <w:rPr>
          <w:rFonts w:ascii="Arial" w:hAnsi="Arial" w:cs="Arial"/>
          <w:b/>
          <w:sz w:val="32"/>
          <w:szCs w:val="32"/>
        </w:rPr>
        <w:t xml:space="preserve">: </w:t>
      </w:r>
      <w:hyperlink r:id="rId9" w:history="1">
        <w:r w:rsidR="007D11D0" w:rsidRPr="007D11D0">
          <w:t xml:space="preserve"> </w:t>
        </w:r>
        <w:hyperlink r:id="rId10" w:history="1">
          <w:r w:rsidR="007D11D0" w:rsidRPr="007D11D0">
            <w:rPr>
              <w:rStyle w:val="Hyperlink"/>
              <w:rFonts w:ascii="Arial" w:hAnsi="Arial" w:cs="Arial"/>
              <w:b/>
              <w:sz w:val="32"/>
              <w:szCs w:val="32"/>
            </w:rPr>
            <w:t>Clinical Laboratory Science (BS)</w:t>
          </w:r>
        </w:hyperlink>
        <w:r w:rsidR="007D11D0" w:rsidRPr="007D11D0">
          <w:rPr>
            <w:rStyle w:val="Hyperlink"/>
            <w:rFonts w:ascii="Arial" w:hAnsi="Arial" w:cs="Arial"/>
            <w:b/>
            <w:sz w:val="32"/>
            <w:szCs w:val="32"/>
          </w:rPr>
          <w:t xml:space="preserve"> </w:t>
        </w:r>
      </w:hyperlink>
    </w:p>
    <w:p w:rsidR="007D11D0" w:rsidRPr="00214867" w:rsidRDefault="007D11D0" w:rsidP="007D11D0">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Health Professions</w:t>
      </w:r>
    </w:p>
    <w:p w:rsidR="007D11D0" w:rsidRDefault="007D11D0" w:rsidP="007D11D0">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152F87" w:rsidRPr="007D11D0" w:rsidRDefault="007D11D0" w:rsidP="007D11D0">
      <w:pPr>
        <w:pStyle w:val="ListParagraph"/>
        <w:spacing w:line="240" w:lineRule="auto"/>
        <w:ind w:left="0"/>
        <w:jc w:val="center"/>
        <w:rPr>
          <w:rFonts w:ascii="Arial" w:hAnsi="Arial" w:cs="Arial"/>
          <w:sz w:val="24"/>
          <w:szCs w:val="24"/>
        </w:rPr>
      </w:pPr>
      <w:r>
        <w:rPr>
          <w:rFonts w:ascii="Arial" w:hAnsi="Arial" w:cs="Arial"/>
          <w:sz w:val="24"/>
          <w:szCs w:val="24"/>
        </w:rPr>
        <w:t xml:space="preserve">Room SC-004 </w:t>
      </w:r>
      <w:r w:rsidRPr="00DF3381">
        <w:rPr>
          <w:rFonts w:ascii="Arial" w:hAnsi="Arial" w:cs="Arial"/>
          <w:color w:val="FF0000"/>
          <w:sz w:val="24"/>
          <w:szCs w:val="24"/>
        </w:rPr>
        <w:t>|</w:t>
      </w:r>
      <w:r>
        <w:rPr>
          <w:rFonts w:ascii="Arial" w:hAnsi="Arial" w:cs="Arial"/>
          <w:sz w:val="24"/>
          <w:szCs w:val="24"/>
        </w:rPr>
        <w:t xml:space="preserve"> (718) 262-2659</w:t>
      </w:r>
    </w:p>
    <w:p w:rsidR="00152F87" w:rsidRPr="007D11D0" w:rsidRDefault="009240E8" w:rsidP="007D11D0">
      <w:pPr>
        <w:rPr>
          <w:rFonts w:ascii="Arial" w:hAnsi="Arial" w:cs="Arial"/>
          <w:sz w:val="24"/>
          <w:szCs w:val="24"/>
        </w:rPr>
      </w:pPr>
      <w:r w:rsidRPr="007D11D0">
        <w:rPr>
          <w:rFonts w:ascii="Arial" w:hAnsi="Arial" w:cs="Arial"/>
          <w:sz w:val="24"/>
          <w:szCs w:val="24"/>
        </w:rPr>
        <w:t xml:space="preserve">The following is a suggested plan of study for completion of this degree program.  </w:t>
      </w:r>
      <w:r w:rsidR="00152F87" w:rsidRPr="007D11D0">
        <w:rPr>
          <w:rFonts w:ascii="Arial" w:hAnsi="Arial" w:cs="Arial"/>
          <w:sz w:val="24"/>
          <w:szCs w:val="24"/>
        </w:rPr>
        <w:t>The goal of a Four-Year Plan is to ensure that students graduate with no more than</w:t>
      </w:r>
      <w:r w:rsidR="007D11D0" w:rsidRPr="007D11D0">
        <w:rPr>
          <w:rFonts w:ascii="Arial" w:hAnsi="Arial" w:cs="Arial"/>
          <w:sz w:val="24"/>
          <w:szCs w:val="24"/>
        </w:rPr>
        <w:t xml:space="preserve"> 120 credits and in four years.</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All students should speak with an academic advisor about their academic programs.</w:t>
      </w:r>
      <w:r w:rsidR="009D0395" w:rsidRPr="007D11D0">
        <w:rPr>
          <w:rFonts w:ascii="Arial" w:hAnsi="Arial" w:cs="Arial"/>
          <w:sz w:val="24"/>
          <w:szCs w:val="24"/>
        </w:rPr>
        <w:t xml:space="preserve"> This document is not a substitute for academic advisement.</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 xml:space="preserve">Students are encouraged to take </w:t>
      </w:r>
      <w:proofErr w:type="gramStart"/>
      <w:r w:rsidRPr="007D11D0">
        <w:rPr>
          <w:rFonts w:ascii="Arial" w:hAnsi="Arial" w:cs="Arial"/>
          <w:sz w:val="24"/>
          <w:szCs w:val="24"/>
        </w:rPr>
        <w:t>Winter</w:t>
      </w:r>
      <w:proofErr w:type="gramEnd"/>
      <w:r w:rsidRPr="007D11D0">
        <w:rPr>
          <w:rFonts w:ascii="Arial" w:hAnsi="Arial" w:cs="Arial"/>
          <w:sz w:val="24"/>
          <w:szCs w:val="24"/>
        </w:rPr>
        <w:t xml:space="preserve"> and Summer courses to facilitate their progress towards graduation.</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Transfer students do not need to take all courses in the plan; they should consult with an academic advisor.</w:t>
      </w:r>
    </w:p>
    <w:tbl>
      <w:tblPr>
        <w:tblStyle w:val="TableGrid"/>
        <w:tblW w:w="11430" w:type="dxa"/>
        <w:tblInd w:w="-882" w:type="dxa"/>
        <w:tblLayout w:type="fixed"/>
        <w:tblLook w:val="04A0" w:firstRow="1" w:lastRow="0" w:firstColumn="1" w:lastColumn="0" w:noHBand="0" w:noVBand="1"/>
        <w:tblCaption w:val="First Year Fall and Spring"/>
      </w:tblPr>
      <w:tblGrid>
        <w:gridCol w:w="4950"/>
        <w:gridCol w:w="900"/>
        <w:gridCol w:w="4680"/>
        <w:gridCol w:w="900"/>
      </w:tblGrid>
      <w:tr w:rsidR="0038506B" w:rsidRPr="0038506B" w:rsidTr="007D11D0">
        <w:trPr>
          <w:tblHeader/>
        </w:trPr>
        <w:tc>
          <w:tcPr>
            <w:tcW w:w="4950" w:type="dxa"/>
            <w:tcBorders>
              <w:bottom w:val="single" w:sz="4" w:space="0" w:color="auto"/>
            </w:tcBorders>
          </w:tcPr>
          <w:p w:rsidR="0038506B" w:rsidRPr="0038506B" w:rsidRDefault="0038506B" w:rsidP="0038506B">
            <w:pPr>
              <w:rPr>
                <w:rFonts w:ascii="Arial" w:hAnsi="Arial" w:cs="Arial"/>
                <w:sz w:val="24"/>
                <w:szCs w:val="24"/>
              </w:rPr>
            </w:pPr>
            <w:r w:rsidRPr="0038506B">
              <w:rPr>
                <w:rFonts w:ascii="Arial" w:hAnsi="Arial" w:cs="Arial"/>
                <w:sz w:val="24"/>
                <w:szCs w:val="24"/>
              </w:rPr>
              <w:t>Course</w:t>
            </w:r>
          </w:p>
        </w:tc>
        <w:tc>
          <w:tcPr>
            <w:tcW w:w="900" w:type="dxa"/>
            <w:tcBorders>
              <w:bottom w:val="single" w:sz="4" w:space="0" w:color="auto"/>
            </w:tcBorders>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Borders>
              <w:bottom w:val="single" w:sz="4" w:space="0" w:color="auto"/>
            </w:tcBorders>
          </w:tcPr>
          <w:p w:rsidR="0038506B" w:rsidRPr="0038506B" w:rsidRDefault="0038506B" w:rsidP="0038506B">
            <w:pPr>
              <w:rPr>
                <w:rFonts w:ascii="Arial" w:hAnsi="Arial" w:cs="Arial"/>
                <w:sz w:val="24"/>
                <w:szCs w:val="24"/>
              </w:rPr>
            </w:pPr>
            <w:r w:rsidRPr="0038506B">
              <w:rPr>
                <w:rFonts w:ascii="Arial" w:hAnsi="Arial" w:cs="Arial"/>
                <w:sz w:val="24"/>
                <w:szCs w:val="24"/>
              </w:rPr>
              <w:t>Course</w:t>
            </w:r>
          </w:p>
        </w:tc>
        <w:tc>
          <w:tcPr>
            <w:tcW w:w="900" w:type="dxa"/>
            <w:tcBorders>
              <w:bottom w:val="single" w:sz="4" w:space="0" w:color="auto"/>
            </w:tcBorders>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First Year – Fall</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First Year – Spring</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English Composition (EC): English 125</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English Composition (EC): English 126</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38506B">
            <w:pPr>
              <w:jc w:val="both"/>
              <w:rPr>
                <w:rFonts w:ascii="Arial" w:hAnsi="Arial" w:cs="Arial"/>
                <w:sz w:val="24"/>
                <w:szCs w:val="24"/>
                <w:highlight w:val="yellow"/>
              </w:rPr>
            </w:pPr>
            <w:r w:rsidRPr="0038506B">
              <w:rPr>
                <w:rFonts w:ascii="Arial" w:hAnsi="Arial" w:cs="Arial"/>
                <w:sz w:val="24"/>
                <w:szCs w:val="24"/>
              </w:rPr>
              <w:t>Math &amp; Quant</w:t>
            </w:r>
            <w:r>
              <w:rPr>
                <w:rFonts w:ascii="Arial" w:hAnsi="Arial" w:cs="Arial"/>
                <w:sz w:val="24"/>
                <w:szCs w:val="24"/>
              </w:rPr>
              <w:t>itative</w:t>
            </w:r>
            <w:r w:rsidRPr="0038506B">
              <w:rPr>
                <w:rFonts w:ascii="Arial" w:hAnsi="Arial" w:cs="Arial"/>
                <w:sz w:val="24"/>
                <w:szCs w:val="24"/>
              </w:rPr>
              <w:t xml:space="preserve"> Reasoning (MQR)</w:t>
            </w:r>
            <w:r>
              <w:rPr>
                <w:rFonts w:ascii="Arial" w:hAnsi="Arial" w:cs="Arial"/>
                <w:sz w:val="24"/>
                <w:szCs w:val="24"/>
              </w:rPr>
              <w:t xml:space="preserve">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111 + 112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Life &amp; Physical Science (LPS): Biology 201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Individual &amp; Society (IS)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Scientific World (SW): Chemistry 108 + 109*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Scientific World (SW): Biology 202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Elective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(CO): Foreign Language+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bl>
    <w:p w:rsidR="00E42A3D" w:rsidRPr="0038506B" w:rsidRDefault="00E42A3D" w:rsidP="00152F87">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430" w:type="dxa"/>
        <w:tblInd w:w="-882" w:type="dxa"/>
        <w:tblLook w:val="04A0" w:firstRow="1" w:lastRow="0" w:firstColumn="1" w:lastColumn="0" w:noHBand="0" w:noVBand="1"/>
        <w:tblCaption w:val="Summer or Winter"/>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tcBorders>
              <w:bottom w:val="single" w:sz="4" w:space="0" w:color="auto"/>
            </w:tcBorders>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Summer or Winter</w:t>
            </w:r>
          </w:p>
        </w:tc>
        <w:tc>
          <w:tcPr>
            <w:tcW w:w="900" w:type="dxa"/>
            <w:tcBorders>
              <w:bottom w:val="single" w:sz="4" w:space="0" w:color="auto"/>
            </w:tcBorders>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3</w:t>
            </w:r>
          </w:p>
        </w:tc>
        <w:tc>
          <w:tcPr>
            <w:tcW w:w="4680" w:type="dxa"/>
            <w:tcBorders>
              <w:bottom w:val="single" w:sz="4" w:space="0" w:color="auto"/>
            </w:tcBorders>
            <w:shd w:val="clear" w:color="auto" w:fill="D9D9D9" w:themeFill="background1" w:themeFillShade="D9"/>
          </w:tcPr>
          <w:p w:rsidR="0038506B" w:rsidRPr="0038506B" w:rsidRDefault="0038506B" w:rsidP="006715F8">
            <w:pPr>
              <w:rPr>
                <w:rFonts w:ascii="Arial" w:hAnsi="Arial" w:cs="Arial"/>
                <w:b/>
                <w:sz w:val="24"/>
                <w:szCs w:val="24"/>
              </w:rPr>
            </w:pPr>
          </w:p>
        </w:tc>
        <w:tc>
          <w:tcPr>
            <w:tcW w:w="900" w:type="dxa"/>
            <w:tcBorders>
              <w:bottom w:val="single" w:sz="4" w:space="0" w:color="auto"/>
            </w:tcBorders>
            <w:shd w:val="clear" w:color="auto" w:fill="D9D9D9" w:themeFill="background1" w:themeFillShade="D9"/>
          </w:tcPr>
          <w:p w:rsidR="0038506B" w:rsidRPr="0038506B" w:rsidRDefault="0038506B" w:rsidP="006715F8">
            <w:pPr>
              <w:jc w:val="center"/>
              <w:rPr>
                <w:rFonts w:ascii="Arial" w:hAnsi="Arial" w:cs="Arial"/>
                <w:b/>
                <w:sz w:val="24"/>
                <w:szCs w:val="24"/>
              </w:rPr>
            </w:pPr>
          </w:p>
        </w:tc>
      </w:tr>
      <w:tr w:rsidR="0038506B" w:rsidRPr="0038506B" w:rsidTr="0038506B">
        <w:tc>
          <w:tcPr>
            <w:tcW w:w="4950" w:type="dxa"/>
            <w:shd w:val="clear" w:color="auto" w:fill="auto"/>
          </w:tcPr>
          <w:p w:rsidR="0038506B" w:rsidRPr="0038506B" w:rsidRDefault="0038506B" w:rsidP="006715F8">
            <w:pPr>
              <w:rPr>
                <w:rFonts w:ascii="Arial" w:hAnsi="Arial" w:cs="Arial"/>
                <w:sz w:val="24"/>
                <w:szCs w:val="24"/>
              </w:rPr>
            </w:pPr>
            <w:r w:rsidRPr="0038506B">
              <w:rPr>
                <w:rFonts w:ascii="Arial" w:hAnsi="Arial" w:cs="Arial"/>
                <w:sz w:val="24"/>
                <w:szCs w:val="24"/>
              </w:rPr>
              <w:t>Creative Expression (CE) course</w:t>
            </w:r>
          </w:p>
        </w:tc>
        <w:tc>
          <w:tcPr>
            <w:tcW w:w="900" w:type="dxa"/>
            <w:shd w:val="clear" w:color="auto" w:fill="auto"/>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shd w:val="clear" w:color="auto" w:fill="auto"/>
          </w:tcPr>
          <w:p w:rsidR="0038506B" w:rsidRPr="0038506B" w:rsidRDefault="0038506B" w:rsidP="006715F8">
            <w:pPr>
              <w:rPr>
                <w:rFonts w:ascii="Arial" w:hAnsi="Arial" w:cs="Arial"/>
                <w:sz w:val="24"/>
                <w:szCs w:val="24"/>
              </w:rPr>
            </w:pPr>
          </w:p>
        </w:tc>
        <w:tc>
          <w:tcPr>
            <w:tcW w:w="900" w:type="dxa"/>
            <w:shd w:val="clear" w:color="auto" w:fill="auto"/>
          </w:tcPr>
          <w:p w:rsidR="0038506B" w:rsidRPr="0038506B" w:rsidRDefault="0038506B" w:rsidP="006715F8">
            <w:pPr>
              <w:jc w:val="center"/>
              <w:rPr>
                <w:rFonts w:ascii="Arial" w:hAnsi="Arial" w:cs="Arial"/>
                <w:sz w:val="24"/>
                <w:szCs w:val="24"/>
              </w:rPr>
            </w:pPr>
          </w:p>
        </w:tc>
      </w:tr>
    </w:tbl>
    <w:p w:rsidR="0028119E" w:rsidRPr="0038506B" w:rsidRDefault="0028119E"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882" w:type="dxa"/>
        <w:tblLook w:val="04A0" w:firstRow="1" w:lastRow="0" w:firstColumn="1" w:lastColumn="0" w:noHBand="0" w:noVBand="1"/>
        <w:tblCaption w:val="Second Year Fall and Spring"/>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Second Year – Fall</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Second Year – Spring</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(CO): Foreign Language+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Biology 265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US Experience in its Diversity (USED)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HPGC 102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230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237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235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241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(CO): Health Education 111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330</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World Cultures &amp; Global Issues (WCGI)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Writing 303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Elective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1</w:t>
            </w:r>
          </w:p>
        </w:tc>
        <w:tc>
          <w:tcPr>
            <w:tcW w:w="4680" w:type="dxa"/>
          </w:tcPr>
          <w:p w:rsidR="0038506B" w:rsidRPr="0038506B" w:rsidRDefault="0038506B" w:rsidP="006715F8">
            <w:pPr>
              <w:rPr>
                <w:rFonts w:ascii="Arial" w:hAnsi="Arial" w:cs="Arial"/>
                <w:sz w:val="24"/>
                <w:szCs w:val="24"/>
              </w:rPr>
            </w:pPr>
          </w:p>
        </w:tc>
        <w:tc>
          <w:tcPr>
            <w:tcW w:w="900" w:type="dxa"/>
          </w:tcPr>
          <w:p w:rsidR="0038506B" w:rsidRPr="0038506B" w:rsidRDefault="0038506B" w:rsidP="006715F8">
            <w:pPr>
              <w:jc w:val="center"/>
              <w:rPr>
                <w:rFonts w:ascii="Arial" w:hAnsi="Arial" w:cs="Arial"/>
                <w:sz w:val="24"/>
                <w:szCs w:val="24"/>
              </w:rPr>
            </w:pPr>
          </w:p>
        </w:tc>
      </w:tr>
    </w:tbl>
    <w:p w:rsidR="0038506B" w:rsidRPr="0038506B" w:rsidRDefault="0038506B" w:rsidP="0038506B">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430" w:type="dxa"/>
        <w:tblInd w:w="-882" w:type="dxa"/>
        <w:tblLook w:val="04A0" w:firstRow="1" w:lastRow="0" w:firstColumn="1" w:lastColumn="0" w:noHBand="0" w:noVBand="1"/>
        <w:tblCaption w:val="Third Year Fall and Spring"/>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lastRenderedPageBreak/>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rPr>
          <w:trHeight w:val="143"/>
        </w:trPr>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Third Year – Fall</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19</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 xml:space="preserve">Third Year – Spring </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16</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252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343</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332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352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351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341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357</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354</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361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358</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353</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362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r>
    </w:tbl>
    <w:p w:rsidR="0038506B" w:rsidRPr="0038506B" w:rsidRDefault="0038506B"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882" w:type="dxa"/>
        <w:tblLook w:val="04A0" w:firstRow="1" w:lastRow="0" w:firstColumn="1" w:lastColumn="0" w:noHBand="0" w:noVBand="1"/>
        <w:tblCaption w:val="Fourth Year Fall and Spring"/>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 xml:space="preserve">Fourth Year – Fall </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5</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 xml:space="preserve">Fourth Year – Spring </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5</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459</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460</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r>
    </w:tbl>
    <w:p w:rsidR="0038506B" w:rsidRPr="0038506B" w:rsidRDefault="0038506B"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28119E" w:rsidRPr="0038506B" w:rsidRDefault="0028119E"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28119E" w:rsidRPr="0038506B" w:rsidRDefault="0028119E"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8119E" w:rsidRPr="0038506B" w:rsidRDefault="00581542"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BS</w:t>
      </w:r>
      <w:r w:rsidR="0028119E" w:rsidRPr="0038506B">
        <w:rPr>
          <w:rFonts w:ascii="Arial" w:hAnsi="Arial" w:cs="Arial"/>
          <w:iCs/>
          <w:color w:val="221E1F"/>
          <w:sz w:val="24"/>
          <w:szCs w:val="24"/>
        </w:rPr>
        <w:t xml:space="preserve"> students must complete 60 credits of liberal arts – See Bulletin. </w:t>
      </w:r>
    </w:p>
    <w:p w:rsidR="006B1D5E" w:rsidRPr="0038506B" w:rsidRDefault="00166288" w:rsidP="007A4E2A">
      <w:pPr>
        <w:rPr>
          <w:rFonts w:ascii="Arial" w:hAnsi="Arial" w:cs="Arial"/>
          <w:sz w:val="24"/>
          <w:szCs w:val="24"/>
        </w:rPr>
      </w:pPr>
      <w:r w:rsidRPr="0038506B">
        <w:rPr>
          <w:rFonts w:ascii="Arial" w:hAnsi="Arial" w:cs="Arial"/>
          <w:sz w:val="24"/>
          <w:szCs w:val="24"/>
        </w:rPr>
        <w:br/>
      </w:r>
      <w:r w:rsidR="00D05A1B" w:rsidRPr="0038506B">
        <w:rPr>
          <w:rFonts w:ascii="Arial" w:hAnsi="Arial" w:cs="Arial"/>
          <w:sz w:val="24"/>
          <w:szCs w:val="24"/>
        </w:rPr>
        <w:t>*In order to register for Chemistry 108 and 109, students must demonstrate competence in Algebra via placement in Math 121 by the Math departmen</w:t>
      </w:r>
      <w:r w:rsidR="00581542" w:rsidRPr="0038506B">
        <w:rPr>
          <w:rFonts w:ascii="Arial" w:hAnsi="Arial" w:cs="Arial"/>
          <w:sz w:val="24"/>
          <w:szCs w:val="24"/>
        </w:rPr>
        <w:t xml:space="preserve">t, or by completion of Math 104 </w:t>
      </w:r>
      <w:r w:rsidR="00D05A1B" w:rsidRPr="0038506B">
        <w:rPr>
          <w:rFonts w:ascii="Arial" w:hAnsi="Arial" w:cs="Arial"/>
          <w:sz w:val="24"/>
          <w:szCs w:val="24"/>
        </w:rPr>
        <w:t>or Math</w:t>
      </w:r>
      <w:r w:rsidR="00581542" w:rsidRPr="0038506B">
        <w:rPr>
          <w:rFonts w:ascii="Arial" w:hAnsi="Arial" w:cs="Arial"/>
          <w:sz w:val="24"/>
          <w:szCs w:val="24"/>
        </w:rPr>
        <w:t xml:space="preserve"> </w:t>
      </w:r>
      <w:r w:rsidR="00D05A1B" w:rsidRPr="0038506B">
        <w:rPr>
          <w:rFonts w:ascii="Arial" w:hAnsi="Arial" w:cs="Arial"/>
          <w:sz w:val="24"/>
          <w:szCs w:val="24"/>
        </w:rPr>
        <w:t>120.</w:t>
      </w:r>
    </w:p>
    <w:p w:rsidR="00E42A3D" w:rsidRPr="007D11D0" w:rsidRDefault="006B1D5E" w:rsidP="00AD472D">
      <w:pPr>
        <w:rPr>
          <w:rFonts w:cs="Courier New"/>
          <w:color w:val="000000"/>
          <w:sz w:val="24"/>
        </w:rPr>
      </w:pPr>
      <w:r w:rsidRPr="0038506B">
        <w:rPr>
          <w:rFonts w:ascii="Arial" w:hAnsi="Arial" w:cs="Arial"/>
          <w:sz w:val="24"/>
          <w:szCs w:val="24"/>
        </w:rPr>
        <w:t xml:space="preserve">+Foreign Language courses are determined through placement by the </w:t>
      </w:r>
      <w:r w:rsidR="008216D6">
        <w:rPr>
          <w:rFonts w:ascii="Arial" w:hAnsi="Arial" w:cs="Arial"/>
          <w:sz w:val="24"/>
          <w:szCs w:val="24"/>
        </w:rPr>
        <w:t>Foreign</w:t>
      </w:r>
      <w:r w:rsidRPr="0038506B">
        <w:rPr>
          <w:rFonts w:ascii="Arial" w:hAnsi="Arial" w:cs="Arial"/>
          <w:sz w:val="24"/>
          <w:szCs w:val="24"/>
        </w:rPr>
        <w:t xml:space="preserve"> Language</w:t>
      </w:r>
      <w:r w:rsidR="0038506B">
        <w:rPr>
          <w:rFonts w:ascii="Arial" w:hAnsi="Arial" w:cs="Arial"/>
          <w:sz w:val="24"/>
          <w:szCs w:val="24"/>
        </w:rPr>
        <w:t>s</w:t>
      </w:r>
      <w:r w:rsidRPr="0038506B">
        <w:rPr>
          <w:rFonts w:ascii="Arial" w:hAnsi="Arial" w:cs="Arial"/>
          <w:sz w:val="24"/>
          <w:szCs w:val="24"/>
        </w:rPr>
        <w:t xml:space="preserve"> Department, Room 3C08.</w:t>
      </w:r>
      <w:r w:rsidR="002428DC">
        <w:rPr>
          <w:sz w:val="24"/>
        </w:rPr>
        <w:br/>
      </w:r>
    </w:p>
    <w:sectPr w:rsidR="00E42A3D" w:rsidRPr="007D11D0" w:rsidSect="007A4E2A">
      <w:headerReference w:type="default" r:id="rId1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2A" w:rsidRPr="001D2E30" w:rsidRDefault="007A4E2A" w:rsidP="007A4E2A">
    <w:pPr>
      <w:pStyle w:val="Header"/>
      <w:mirrorIndents/>
      <w:rPr>
        <w:sz w:val="16"/>
        <w:szCs w:val="16"/>
      </w:rPr>
    </w:pPr>
    <w:r>
      <w:rPr>
        <w:color w:val="FF0000"/>
        <w:sz w:val="16"/>
        <w:szCs w:val="16"/>
      </w:rPr>
      <w:tab/>
    </w:r>
    <w:r>
      <w:rPr>
        <w:color w:val="FF0000"/>
        <w:sz w:val="16"/>
        <w:szCs w:val="16"/>
      </w:rPr>
      <w:tab/>
    </w:r>
    <w:r w:rsidRPr="001D2E30">
      <w:rPr>
        <w:sz w:val="16"/>
        <w:szCs w:val="16"/>
      </w:rPr>
      <w:t>Approved by Department: 0</w:t>
    </w:r>
    <w:r w:rsidR="007607BD">
      <w:rPr>
        <w:sz w:val="16"/>
        <w:szCs w:val="16"/>
      </w:rPr>
      <w:t>0</w:t>
    </w:r>
    <w:r w:rsidRPr="001D2E30">
      <w:rPr>
        <w:sz w:val="16"/>
        <w:szCs w:val="16"/>
      </w:rPr>
      <w:t>/</w:t>
    </w:r>
    <w:r w:rsidR="007607BD">
      <w:rPr>
        <w:sz w:val="16"/>
        <w:szCs w:val="16"/>
      </w:rPr>
      <w:t>00</w:t>
    </w:r>
    <w:r w:rsidR="00BB7286">
      <w:rPr>
        <w:sz w:val="16"/>
        <w:szCs w:val="16"/>
      </w:rPr>
      <w:t>/1</w:t>
    </w:r>
    <w:r w:rsidR="00125123">
      <w:rPr>
        <w:sz w:val="16"/>
        <w:szCs w:val="16"/>
      </w:rPr>
      <w:t>5</w:t>
    </w:r>
  </w:p>
  <w:p w:rsidR="007A4E2A" w:rsidRDefault="007A4E2A">
    <w:pPr>
      <w:pStyle w:val="Header"/>
    </w:pPr>
  </w:p>
  <w:p w:rsidR="007A4E2A" w:rsidRDefault="007A4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EF46538"/>
    <w:multiLevelType w:val="hybridMultilevel"/>
    <w:tmpl w:val="E5A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607DE"/>
    <w:rsid w:val="0007219C"/>
    <w:rsid w:val="00086992"/>
    <w:rsid w:val="00086AFA"/>
    <w:rsid w:val="000C417E"/>
    <w:rsid w:val="00125123"/>
    <w:rsid w:val="00152F87"/>
    <w:rsid w:val="00157EF4"/>
    <w:rsid w:val="00166288"/>
    <w:rsid w:val="00182722"/>
    <w:rsid w:val="001D7124"/>
    <w:rsid w:val="002209F7"/>
    <w:rsid w:val="00226AF0"/>
    <w:rsid w:val="002428DC"/>
    <w:rsid w:val="002564D7"/>
    <w:rsid w:val="0028119E"/>
    <w:rsid w:val="002853C2"/>
    <w:rsid w:val="002867A2"/>
    <w:rsid w:val="00315217"/>
    <w:rsid w:val="0032585B"/>
    <w:rsid w:val="00357B66"/>
    <w:rsid w:val="0038506B"/>
    <w:rsid w:val="00390635"/>
    <w:rsid w:val="003A36A3"/>
    <w:rsid w:val="003B1D4D"/>
    <w:rsid w:val="003D150C"/>
    <w:rsid w:val="00460A5B"/>
    <w:rsid w:val="004C1898"/>
    <w:rsid w:val="004C24BA"/>
    <w:rsid w:val="004E1F27"/>
    <w:rsid w:val="004F6310"/>
    <w:rsid w:val="00500474"/>
    <w:rsid w:val="005703CA"/>
    <w:rsid w:val="00581542"/>
    <w:rsid w:val="00595CE0"/>
    <w:rsid w:val="005D4FEE"/>
    <w:rsid w:val="00603587"/>
    <w:rsid w:val="00685AF6"/>
    <w:rsid w:val="006A08D5"/>
    <w:rsid w:val="006B1D5E"/>
    <w:rsid w:val="00733A72"/>
    <w:rsid w:val="00742386"/>
    <w:rsid w:val="00750D6E"/>
    <w:rsid w:val="007607BD"/>
    <w:rsid w:val="0077020F"/>
    <w:rsid w:val="007A4E2A"/>
    <w:rsid w:val="007C71F6"/>
    <w:rsid w:val="007D11D0"/>
    <w:rsid w:val="00814924"/>
    <w:rsid w:val="008216D6"/>
    <w:rsid w:val="00845FD6"/>
    <w:rsid w:val="0086402A"/>
    <w:rsid w:val="008C60E3"/>
    <w:rsid w:val="008E70C1"/>
    <w:rsid w:val="008F1AF5"/>
    <w:rsid w:val="008F2A4B"/>
    <w:rsid w:val="009240E8"/>
    <w:rsid w:val="00943260"/>
    <w:rsid w:val="009C58DE"/>
    <w:rsid w:val="009D0395"/>
    <w:rsid w:val="00A05A80"/>
    <w:rsid w:val="00A34F0E"/>
    <w:rsid w:val="00AD472D"/>
    <w:rsid w:val="00B22077"/>
    <w:rsid w:val="00B6134F"/>
    <w:rsid w:val="00B748E5"/>
    <w:rsid w:val="00B878EF"/>
    <w:rsid w:val="00BB7286"/>
    <w:rsid w:val="00C31601"/>
    <w:rsid w:val="00C65B93"/>
    <w:rsid w:val="00CE7A3E"/>
    <w:rsid w:val="00CF2B39"/>
    <w:rsid w:val="00D05A1B"/>
    <w:rsid w:val="00D34305"/>
    <w:rsid w:val="00D426D2"/>
    <w:rsid w:val="00DF0784"/>
    <w:rsid w:val="00E1242B"/>
    <w:rsid w:val="00E42A3D"/>
    <w:rsid w:val="00E53E27"/>
    <w:rsid w:val="00E93316"/>
    <w:rsid w:val="00EC2C0A"/>
    <w:rsid w:val="00EF1424"/>
    <w:rsid w:val="00F71785"/>
    <w:rsid w:val="00F86AC2"/>
    <w:rsid w:val="00FA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6035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6035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york.cuny.edu/produce-and-print/contents/bulletin/school-of-health-and-behavioral-sciences/health-professions/medical-technology-bs" TargetMode="Externa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professions/health-science-b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4E56C88-4390-42CF-B182-C5B880CA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Clinical Laboratory Science BS Degree Map</vt:lpstr>
    </vt:vector>
  </TitlesOfParts>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Laboratory Science BS Degree Map</dc:title>
  <dc:creator>Janet Guidi</dc:creator>
  <cp:lastModifiedBy>Janet Guidi</cp:lastModifiedBy>
  <cp:revision>8</cp:revision>
  <cp:lastPrinted>2014-12-18T21:38:00Z</cp:lastPrinted>
  <dcterms:created xsi:type="dcterms:W3CDTF">2019-02-01T20:40:00Z</dcterms:created>
  <dcterms:modified xsi:type="dcterms:W3CDTF">2019-02-01T21:55:00Z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