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D3" w:rsidRDefault="005E5D25">
      <w:pPr>
        <w:spacing w:after="0"/>
      </w:pPr>
      <w:bookmarkStart w:id="0" w:name="b978-3-319-28099-8_1501-1"/>
      <w:r>
        <w:rPr>
          <w:rFonts w:ascii="Times New Roman"/>
          <w:color w:val="000000"/>
        </w:rPr>
        <w:t>© </w:t>
      </w:r>
      <w:r>
        <w:rPr>
          <w:rFonts w:ascii="Times New Roman"/>
          <w:color w:val="000000"/>
        </w:rPr>
        <w:t>Springer International Publishing AG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>2017</w:t>
      </w:r>
    </w:p>
    <w:p w:rsidR="002342D3" w:rsidRDefault="005E5D25">
      <w:pPr>
        <w:spacing w:after="45"/>
      </w:pPr>
      <w:r>
        <w:rPr>
          <w:rFonts w:ascii="Times New Roman"/>
          <w:color w:val="000000"/>
          <w:sz w:val="16"/>
        </w:rPr>
        <w:t>Virgil Zeigler-Hill</w:t>
      </w:r>
    </w:p>
    <w:p w:rsidR="002342D3" w:rsidRDefault="005E5D25">
      <w:pPr>
        <w:spacing w:after="0"/>
      </w:pPr>
      <w:r>
        <w:rPr>
          <w:rFonts w:ascii="Times New Roman"/>
          <w:color w:val="000000"/>
          <w:sz w:val="16"/>
        </w:rPr>
        <w:t xml:space="preserve"> </w:t>
      </w:r>
      <w:proofErr w:type="gramStart"/>
      <w:r>
        <w:rPr>
          <w:rFonts w:ascii="Times New Roman"/>
          <w:color w:val="000000"/>
          <w:sz w:val="16"/>
        </w:rPr>
        <w:t>and</w:t>
      </w:r>
      <w:proofErr w:type="gramEnd"/>
      <w:r>
        <w:rPr>
          <w:rFonts w:ascii="Times New Roman"/>
          <w:color w:val="000000"/>
          <w:sz w:val="16"/>
        </w:rPr>
        <w:t xml:space="preserve"> </w:t>
      </w:r>
    </w:p>
    <w:p w:rsidR="002342D3" w:rsidRDefault="005E5D25">
      <w:pPr>
        <w:spacing w:after="45"/>
      </w:pPr>
      <w:r>
        <w:rPr>
          <w:rFonts w:ascii="Times New Roman"/>
          <w:color w:val="000000"/>
          <w:sz w:val="16"/>
        </w:rPr>
        <w:t>Todd K. Shackelford</w:t>
      </w:r>
    </w:p>
    <w:p w:rsidR="002342D3" w:rsidRDefault="005E5D25">
      <w:pPr>
        <w:spacing w:after="45"/>
      </w:pPr>
      <w:r>
        <w:rPr>
          <w:rFonts w:ascii="Times New Roman"/>
          <w:color w:val="000000"/>
          <w:sz w:val="16"/>
        </w:rPr>
        <w:t>Encyclopedia of Personality and Individual Differences</w:t>
      </w:r>
    </w:p>
    <w:p w:rsidR="005E5D25" w:rsidRDefault="005E5D25">
      <w:pPr>
        <w:spacing w:after="45"/>
        <w:rPr>
          <w:rFonts w:ascii="Times New Roman"/>
          <w:color w:val="000000"/>
          <w:sz w:val="16"/>
        </w:rPr>
      </w:pPr>
      <w:r>
        <w:rPr>
          <w:rFonts w:ascii="Times New Roman"/>
          <w:color w:val="000000"/>
          <w:sz w:val="16"/>
        </w:rPr>
        <w:t>10.1007/978-3-319-28099-8_1501-1</w:t>
      </w:r>
    </w:p>
    <w:p w:rsidR="002342D3" w:rsidRDefault="002342D3">
      <w:pPr>
        <w:spacing w:after="45"/>
      </w:pPr>
    </w:p>
    <w:bookmarkEnd w:id="0"/>
    <w:p w:rsidR="002342D3" w:rsidRDefault="005E5D25">
      <w:pPr>
        <w:spacing w:after="0"/>
      </w:pPr>
      <w:r>
        <w:rPr>
          <w:rFonts w:ascii="Georgia"/>
          <w:b/>
          <w:color w:val="000000"/>
          <w:sz w:val="36"/>
        </w:rPr>
        <w:t>Self-Actualizing Creativity</w:t>
      </w:r>
    </w:p>
    <w:p w:rsidR="002342D3" w:rsidRDefault="005E5D25">
      <w:pPr>
        <w:spacing w:after="0"/>
      </w:pPr>
      <w:r>
        <w:rPr>
          <w:rFonts w:ascii="Times New Roman"/>
          <w:color w:val="333333"/>
        </w:rPr>
        <w:t>Ian G. Hansen</w:t>
      </w:r>
      <w:r>
        <w:rPr>
          <w:rFonts w:ascii="Times New Roman"/>
          <w:color w:val="333333"/>
          <w:vertAlign w:val="superscript"/>
        </w:rPr>
        <w:t xml:space="preserve">1 </w:t>
      </w:r>
    </w:p>
    <w:p w:rsidR="002342D3" w:rsidRDefault="005E5D25">
      <w:pPr>
        <w:spacing w:after="90"/>
      </w:pPr>
      <w:bookmarkStart w:id="1" w:name="Aff3"/>
      <w:r>
        <w:rPr>
          <w:rFonts w:ascii="Arial"/>
          <w:color w:val="000000"/>
          <w:sz w:val="20"/>
        </w:rPr>
        <w:t>(</w:t>
      </w:r>
      <w:proofErr w:type="gramStart"/>
      <w:r>
        <w:rPr>
          <w:rFonts w:ascii="Arial"/>
          <w:color w:val="000000"/>
          <w:sz w:val="20"/>
        </w:rPr>
        <w:t>1)</w:t>
      </w:r>
      <w:proofErr w:type="gramEnd"/>
      <w:r>
        <w:rPr>
          <w:rFonts w:ascii="Arial"/>
          <w:color w:val="000000"/>
          <w:sz w:val="20"/>
        </w:rPr>
        <w:t xml:space="preserve">York College, City </w:t>
      </w:r>
      <w:r>
        <w:rPr>
          <w:rFonts w:ascii="Arial"/>
          <w:color w:val="000000"/>
          <w:sz w:val="20"/>
        </w:rPr>
        <w:t>University of New York, Jamaica, NY, USA</w:t>
      </w:r>
    </w:p>
    <w:bookmarkEnd w:id="1"/>
    <w:p w:rsidR="002342D3" w:rsidRDefault="002342D3">
      <w:pPr>
        <w:spacing w:after="0"/>
      </w:pPr>
    </w:p>
    <w:p w:rsidR="002342D3" w:rsidRDefault="002342D3">
      <w:pPr>
        <w:spacing w:after="0"/>
      </w:pPr>
      <w:bookmarkStart w:id="2" w:name="ContactOfAuthor1"/>
    </w:p>
    <w:p w:rsidR="002342D3" w:rsidRDefault="005E5D25" w:rsidP="005E5D25">
      <w:pPr>
        <w:pBdr>
          <w:left w:val="none" w:sz="0" w:space="15" w:color="auto"/>
        </w:pBdr>
        <w:spacing w:after="0"/>
      </w:pPr>
      <w:r>
        <w:rPr>
          <w:rFonts w:ascii="Arial"/>
          <w:b/>
          <w:color w:val="000000"/>
          <w:sz w:val="20"/>
        </w:rPr>
        <w:t>Ian G. Hansen</w:t>
      </w:r>
    </w:p>
    <w:p w:rsidR="002342D3" w:rsidRDefault="005E5D25" w:rsidP="005E5D25">
      <w:pPr>
        <w:pBdr>
          <w:left w:val="none" w:sz="0" w:space="15" w:color="auto"/>
        </w:pBdr>
        <w:spacing w:after="0"/>
      </w:pPr>
      <w:r>
        <w:rPr>
          <w:rFonts w:ascii="Arial"/>
          <w:b/>
          <w:color w:val="000000"/>
          <w:sz w:val="20"/>
        </w:rPr>
        <w:t xml:space="preserve">Email: </w:t>
      </w:r>
      <w:r>
        <w:rPr>
          <w:rFonts w:ascii="Arial"/>
          <w:color w:val="000000"/>
          <w:sz w:val="20"/>
        </w:rPr>
        <w:t xml:space="preserve"> </w:t>
      </w:r>
      <w:hyperlink r:id="rId5">
        <w:r>
          <w:rPr>
            <w:rStyle w:val="Hyperlink"/>
            <w:rFonts w:ascii="Arial"/>
            <w:color w:val="0000FF"/>
            <w:sz w:val="20"/>
          </w:rPr>
          <w:t>ihansen@york.cuny.edu</w:t>
        </w:r>
      </w:hyperlink>
    </w:p>
    <w:p w:rsidR="002342D3" w:rsidRDefault="002342D3" w:rsidP="005E5D25">
      <w:pPr>
        <w:spacing w:after="0"/>
      </w:pPr>
      <w:bookmarkStart w:id="3" w:name="Sec1"/>
      <w:bookmarkEnd w:id="2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Introduction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4" w:name="Par13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A distinct form of creativity called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creativeness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is one of the important traits that pe</w:t>
      </w:r>
      <w:r>
        <w:rPr>
          <w:rFonts w:ascii="Times New Roman"/>
          <w:color w:val="000000"/>
        </w:rPr>
        <w:t xml:space="preserve">rsonality psychologist Abraham Maslow identified. He considered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creativeness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to be a core feature of self-actualizing people</w:t>
      </w:r>
      <w:r>
        <w:rPr>
          <w:rFonts w:ascii="Times New Roman"/>
          <w:color w:val="000000"/>
        </w:rPr>
        <w:t>—</w:t>
      </w:r>
      <w:r>
        <w:rPr>
          <w:rFonts w:ascii="Times New Roman"/>
          <w:color w:val="000000"/>
        </w:rPr>
        <w:t xml:space="preserve">those who had, according to Maslow's theory, satisfied the more basic foundations of his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hierarchy of needs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and so were able to</w:t>
      </w:r>
      <w:r>
        <w:rPr>
          <w:rFonts w:ascii="Times New Roman"/>
          <w:color w:val="000000"/>
        </w:rPr>
        <w:t xml:space="preserve"> spontaneously express a peak form of human flourishing.</w:t>
      </w:r>
    </w:p>
    <w:p w:rsidR="002342D3" w:rsidRDefault="002342D3" w:rsidP="005E5D25">
      <w:pPr>
        <w:spacing w:after="0"/>
      </w:pPr>
      <w:bookmarkStart w:id="5" w:name="Sec2"/>
      <w:bookmarkEnd w:id="4"/>
      <w:bookmarkEnd w:id="3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Key Information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6" w:name="Par1"/>
    </w:p>
    <w:p w:rsidR="005E5D25" w:rsidRDefault="005E5D25" w:rsidP="005E5D25">
      <w:pPr>
        <w:spacing w:after="0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Maslow distinguished the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creativeness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he observed in self-actualizing people from the creativity for which productive and culturally influential artists of various kinds are known</w:t>
      </w:r>
      <w:r>
        <w:rPr>
          <w:rFonts w:ascii="Times New Roman"/>
          <w:color w:val="000000"/>
        </w:rPr>
        <w:t>. Maslow considered artistic creativity to be potentially uncorrelated with psychological health, given the reputation of many famous artists for intense psychological distress and disruption (Toward a Psychology of Being, p. 127). He wrote that self-actua</w:t>
      </w:r>
      <w:r>
        <w:rPr>
          <w:rFonts w:ascii="Times New Roman"/>
          <w:color w:val="000000"/>
        </w:rPr>
        <w:t>lizing creativeness:</w:t>
      </w:r>
    </w:p>
    <w:p w:rsidR="002342D3" w:rsidRDefault="002342D3" w:rsidP="005E5D25">
      <w:pPr>
        <w:spacing w:after="0"/>
      </w:pPr>
    </w:p>
    <w:p w:rsidR="005E5D25" w:rsidRDefault="005E5D25" w:rsidP="005E5D25">
      <w:pPr>
        <w:spacing w:after="0"/>
        <w:ind w:left="720"/>
        <w:rPr>
          <w:rFonts w:ascii="Helvetica" w:hAnsi="Helvetica"/>
          <w:color w:val="000000"/>
          <w:sz w:val="18"/>
        </w:rPr>
      </w:pPr>
      <w:bookmarkStart w:id="7" w:name="Par2"/>
      <w:proofErr w:type="gramStart"/>
      <w:r w:rsidRPr="005E5D25">
        <w:rPr>
          <w:rFonts w:ascii="Helvetica" w:hAnsi="Helvetica"/>
          <w:color w:val="000000"/>
          <w:sz w:val="18"/>
        </w:rPr>
        <w:t>sprang</w:t>
      </w:r>
      <w:proofErr w:type="gramEnd"/>
      <w:r w:rsidRPr="005E5D25">
        <w:rPr>
          <w:rFonts w:ascii="Helvetica" w:hAnsi="Helvetica"/>
          <w:color w:val="000000"/>
          <w:sz w:val="18"/>
        </w:rPr>
        <w:t xml:space="preserve"> much more directly from the personality, and</w:t>
      </w:r>
      <w:r w:rsidRPr="005E5D25">
        <w:rPr>
          <w:rFonts w:ascii="Helvetica" w:hAnsi="Helvetica"/>
          <w:color w:val="000000"/>
          <w:sz w:val="18"/>
        </w:rPr>
        <w:t>…</w:t>
      </w:r>
      <w:r w:rsidRPr="005E5D25">
        <w:rPr>
          <w:rFonts w:ascii="Helvetica" w:hAnsi="Helvetica"/>
          <w:color w:val="000000"/>
          <w:sz w:val="18"/>
        </w:rPr>
        <w:t xml:space="preserve"> showed itself widely in the ordinary affairs of life, for instance, in a certain kind of humor. It looked like a tendency to do anything creatively: e.g., housekeeping, teaching, etc</w:t>
      </w:r>
      <w:r w:rsidRPr="005E5D25">
        <w:rPr>
          <w:rFonts w:ascii="Helvetica" w:hAnsi="Helvetica"/>
          <w:color w:val="000000"/>
          <w:sz w:val="18"/>
        </w:rPr>
        <w:t>. (p. 129)</w:t>
      </w:r>
    </w:p>
    <w:p w:rsidR="002342D3" w:rsidRPr="005E5D25" w:rsidRDefault="002342D3" w:rsidP="005E5D25">
      <w:pPr>
        <w:spacing w:after="0"/>
        <w:ind w:left="720"/>
        <w:rPr>
          <w:rFonts w:ascii="Helvetica" w:hAnsi="Helvetica"/>
          <w:sz w:val="18"/>
        </w:rPr>
      </w:pPr>
    </w:p>
    <w:p w:rsidR="002342D3" w:rsidRDefault="005E5D25" w:rsidP="005E5D25">
      <w:pPr>
        <w:spacing w:after="0"/>
      </w:pPr>
      <w:bookmarkStart w:id="8" w:name="Par3"/>
      <w:bookmarkEnd w:id="7"/>
      <w:bookmarkEnd w:id="6"/>
      <w:r>
        <w:rPr>
          <w:rFonts w:ascii="Times New Roman"/>
          <w:color w:val="000000"/>
        </w:rPr>
        <w:t xml:space="preserve">An essential feature of this creativeness for Maslow was its open, childlike quality. He identified self-actualizing creativeness with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openness to experience,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an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 xml:space="preserve">ability to express ideas and impulses without strangulation and without fear of </w:t>
      </w:r>
      <w:r>
        <w:rPr>
          <w:rFonts w:ascii="Times New Roman"/>
          <w:color w:val="000000"/>
        </w:rPr>
        <w:t>ridicule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and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uninhibited spontaneity and expressiveness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(p. 129). He considered self-actualizers to enjoy a kind of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 xml:space="preserve">second </w:t>
      </w:r>
      <w:proofErr w:type="spellStart"/>
      <w:r>
        <w:rPr>
          <w:rFonts w:ascii="Times New Roman"/>
          <w:color w:val="000000"/>
        </w:rPr>
        <w:t>naivete</w:t>
      </w:r>
      <w:proofErr w:type="spellEnd"/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insofar as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their innocence of perception and expressiveness was combined with sophisticated minds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(p. 130).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9" w:name="Par4"/>
      <w:bookmarkEnd w:id="8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>Crucial to</w:t>
      </w:r>
      <w:r>
        <w:rPr>
          <w:rFonts w:ascii="Times New Roman"/>
          <w:color w:val="000000"/>
        </w:rPr>
        <w:t xml:space="preserve"> this creativeness for Maslow was a lack of fear of the unknown, and even a strong attraction to it without prematurely assigning it to one side of a binary pair of categories (like good and evil, etc.). He noted that self-actualizers did not need to reach</w:t>
      </w:r>
      <w:r>
        <w:rPr>
          <w:rFonts w:ascii="Times New Roman"/>
          <w:color w:val="000000"/>
        </w:rPr>
        <w:t xml:space="preserve"> certainty prematurely and were comfortable with some degree of chaos, presumably because needs for order and security are already taken care of among those inclined to self-actualization.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0" w:name="Par5"/>
      <w:bookmarkEnd w:id="9"/>
    </w:p>
    <w:p w:rsidR="005E5D25" w:rsidRDefault="005E5D25" w:rsidP="005E5D25">
      <w:pPr>
        <w:spacing w:after="0"/>
        <w:rPr>
          <w:rFonts w:ascii="Times New Roman"/>
          <w:color w:val="000000"/>
        </w:rPr>
      </w:pPr>
      <w:r>
        <w:rPr>
          <w:rFonts w:ascii="Times New Roman"/>
          <w:color w:val="000000"/>
        </w:rPr>
        <w:t>Another aspect of self-actualizing creativeness is an ability to re</w:t>
      </w:r>
      <w:r>
        <w:rPr>
          <w:rFonts w:ascii="Times New Roman"/>
          <w:color w:val="000000"/>
        </w:rPr>
        <w:t>concile apparent contradictions, like:</w:t>
      </w:r>
    </w:p>
    <w:p w:rsidR="002342D3" w:rsidRDefault="002342D3" w:rsidP="005E5D25">
      <w:pPr>
        <w:spacing w:after="0"/>
      </w:pPr>
    </w:p>
    <w:p w:rsidR="002342D3" w:rsidRPr="005E5D25" w:rsidRDefault="005E5D25" w:rsidP="005E5D25">
      <w:pPr>
        <w:spacing w:after="0"/>
        <w:ind w:left="720"/>
        <w:rPr>
          <w:rFonts w:ascii="Helvetica" w:hAnsi="Helvetica"/>
          <w:sz w:val="18"/>
        </w:rPr>
      </w:pPr>
      <w:bookmarkStart w:id="11" w:name="Par6"/>
      <w:proofErr w:type="gramStart"/>
      <w:r w:rsidRPr="005E5D25">
        <w:rPr>
          <w:rFonts w:ascii="Helvetica" w:hAnsi="Helvetica"/>
          <w:color w:val="000000"/>
          <w:sz w:val="18"/>
        </w:rPr>
        <w:t>kindness</w:t>
      </w:r>
      <w:proofErr w:type="gramEnd"/>
      <w:r w:rsidRPr="005E5D25">
        <w:rPr>
          <w:rFonts w:ascii="Helvetica" w:hAnsi="Helvetica"/>
          <w:color w:val="000000"/>
          <w:sz w:val="18"/>
        </w:rPr>
        <w:t>-ruthlessness, concreteness-abstractness, acceptance-rebellion, self-society, adjustment-maladjustment, detachment from others-identification with others, serious-humorous, Dionysian-Apollonian, introverted-extraverted, intense-casual, serious-friv</w:t>
      </w:r>
      <w:r w:rsidRPr="005E5D25">
        <w:rPr>
          <w:rFonts w:ascii="Helvetica" w:hAnsi="Helvetica"/>
          <w:color w:val="000000"/>
          <w:sz w:val="18"/>
        </w:rPr>
        <w:t xml:space="preserve">olous, conventional-unconventional, mystic-realistic, active-passive, masculine-feminine, lust-love, and Eros-Agape. (Maslow </w:t>
      </w:r>
      <w:hyperlink w:anchor="CR2">
        <w:r w:rsidRPr="005E5D25">
          <w:rPr>
            <w:rStyle w:val="Hyperlink"/>
            <w:rFonts w:ascii="Helvetica" w:hAnsi="Helvetica"/>
            <w:i/>
            <w:color w:val="0000FF"/>
            <w:sz w:val="18"/>
          </w:rPr>
          <w:t>1954</w:t>
        </w:r>
      </w:hyperlink>
      <w:r w:rsidRPr="005E5D25">
        <w:rPr>
          <w:rFonts w:ascii="Helvetica" w:hAnsi="Helvetica"/>
          <w:color w:val="000000"/>
          <w:sz w:val="18"/>
        </w:rPr>
        <w:t>/1970, p. 179)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2" w:name="Par7"/>
      <w:bookmarkEnd w:id="11"/>
      <w:bookmarkEnd w:id="10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Maslow noted that great artists and theorists accomplish precisely this kind of unified </w:t>
      </w:r>
      <w:r>
        <w:rPr>
          <w:rFonts w:ascii="Times New Roman"/>
          <w:color w:val="000000"/>
        </w:rPr>
        <w:t xml:space="preserve">reconciliation of clashing elements or apparent contradictions (Maslow </w:t>
      </w:r>
      <w:hyperlink w:anchor="CR3">
        <w:r>
          <w:rPr>
            <w:rStyle w:val="Hyperlink"/>
            <w:rFonts w:ascii="Times New Roman"/>
            <w:i/>
            <w:color w:val="0000FF"/>
          </w:rPr>
          <w:t>1962</w:t>
        </w:r>
      </w:hyperlink>
      <w:r>
        <w:rPr>
          <w:rFonts w:ascii="Times New Roman"/>
          <w:color w:val="000000"/>
        </w:rPr>
        <w:t>, pp. 131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>132).</w:t>
      </w:r>
    </w:p>
    <w:p w:rsidR="002342D3" w:rsidRDefault="002342D3" w:rsidP="005E5D25">
      <w:pPr>
        <w:spacing w:after="0"/>
      </w:pPr>
      <w:bookmarkStart w:id="13" w:name="Sec3"/>
      <w:bookmarkEnd w:id="12"/>
      <w:bookmarkEnd w:id="5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Relation to Freudian Theory of Primary and Secondary Processes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4" w:name="Par8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>Maslow saw a kind of integrated or whole person-based self-acceptance as bei</w:t>
      </w:r>
      <w:r>
        <w:rPr>
          <w:rFonts w:ascii="Times New Roman"/>
          <w:color w:val="000000"/>
        </w:rPr>
        <w:t xml:space="preserve">ng key to self-actualizing creativeness. That self-acceptance allowed self-actualizers to freely express all of their emotions and, in Freudian terms, their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primary thought processes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instead of controlling and repressing them (Maslow </w:t>
      </w:r>
      <w:hyperlink w:anchor="CR3">
        <w:r>
          <w:rPr>
            <w:rStyle w:val="Hyperlink"/>
            <w:rFonts w:ascii="Times New Roman"/>
            <w:i/>
            <w:color w:val="0000FF"/>
          </w:rPr>
          <w:t>1962</w:t>
        </w:r>
      </w:hyperlink>
      <w:r>
        <w:rPr>
          <w:rFonts w:ascii="Times New Roman"/>
          <w:color w:val="000000"/>
        </w:rPr>
        <w:t>, pp. 132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>135). Maslow also saw the self-actualizers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peak experiences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as reflecting this essential receptivity to their primary processes.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5" w:name="Par9"/>
      <w:bookmarkEnd w:id="14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He distinguished the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primary creativity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arising from this receptivity to be distinct from the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secondary</w:t>
      </w:r>
      <w:r>
        <w:rPr>
          <w:rFonts w:ascii="Times New Roman"/>
          <w:color w:val="000000"/>
        </w:rPr>
        <w:t xml:space="preserve"> creativity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that involves reliance on what Freud called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secondary thought processes,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the ones directed to concretely manifesting the desires of the primary thought processes in the world. Secondary creativity is thus the kind that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includes a large prop</w:t>
      </w:r>
      <w:r>
        <w:rPr>
          <w:rFonts w:ascii="Times New Roman"/>
          <w:color w:val="000000"/>
        </w:rPr>
        <w:t>ortion of production-in-the-world, the bridges, the houses, the new automobiles, even many scientific experiments and much literary work. All of these are essentially the consolidation and development of other people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s ideas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(Maslow </w:t>
      </w:r>
      <w:hyperlink w:anchor="CR3">
        <w:r>
          <w:rPr>
            <w:rStyle w:val="Hyperlink"/>
            <w:rFonts w:ascii="Times New Roman"/>
            <w:i/>
            <w:color w:val="0000FF"/>
          </w:rPr>
          <w:t>1962</w:t>
        </w:r>
      </w:hyperlink>
      <w:r>
        <w:rPr>
          <w:rFonts w:ascii="Times New Roman"/>
          <w:color w:val="000000"/>
        </w:rPr>
        <w:t>, p. 135).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6" w:name="Par10"/>
      <w:bookmarkEnd w:id="15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When both receptive primary and productive secondary creativity were present, Maslow called this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integrated creativeness,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the kind associated with great achievements in art, philosophy, and science. He did not consider self-actualization</w:t>
      </w:r>
      <w:r>
        <w:rPr>
          <w:rFonts w:ascii="Times New Roman"/>
          <w:color w:val="000000"/>
        </w:rPr>
        <w:t xml:space="preserve"> necessary or sufficient for these achievements, however, and associated self-actualization first with primary creativity.</w:t>
      </w:r>
    </w:p>
    <w:p w:rsidR="002342D3" w:rsidRDefault="002342D3" w:rsidP="005E5D25">
      <w:pPr>
        <w:spacing w:after="0"/>
      </w:pPr>
      <w:bookmarkStart w:id="17" w:name="Sec4"/>
      <w:bookmarkEnd w:id="16"/>
      <w:bookmarkEnd w:id="13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Political Leanings of Self-Actualized Creativeness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8" w:name="Par11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To the extent Maslow saw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openness to experience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as central to self-actualizing</w:t>
      </w:r>
      <w:r>
        <w:rPr>
          <w:rFonts w:ascii="Times New Roman"/>
          <w:color w:val="000000"/>
        </w:rPr>
        <w:t xml:space="preserve"> creativity, this suggests that self-actualization itself may be easily confused with liberalism, as liberalism is known to correlate with trait-level openness to experience (</w:t>
      </w:r>
      <w:proofErr w:type="spellStart"/>
      <w:r>
        <w:rPr>
          <w:rFonts w:ascii="Times New Roman"/>
          <w:color w:val="000000"/>
        </w:rPr>
        <w:t>Jost</w:t>
      </w:r>
      <w:proofErr w:type="spellEnd"/>
      <w:r>
        <w:rPr>
          <w:rFonts w:ascii="Times New Roman"/>
          <w:color w:val="000000"/>
        </w:rPr>
        <w:t xml:space="preserve"> et al. </w:t>
      </w:r>
      <w:hyperlink w:anchor="CR1">
        <w:r>
          <w:rPr>
            <w:rStyle w:val="Hyperlink"/>
            <w:rFonts w:ascii="Times New Roman"/>
            <w:i/>
            <w:color w:val="0000FF"/>
          </w:rPr>
          <w:t>2003</w:t>
        </w:r>
      </w:hyperlink>
      <w:r>
        <w:rPr>
          <w:rFonts w:ascii="Times New Roman"/>
          <w:color w:val="000000"/>
        </w:rPr>
        <w:t xml:space="preserve">). In general, the political leanings of </w:t>
      </w:r>
      <w:r>
        <w:rPr>
          <w:rFonts w:ascii="Times New Roman"/>
          <w:color w:val="000000"/>
        </w:rPr>
        <w:t xml:space="preserve">those Maslow perceived as self-actualizers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a list that included Albert Einstein, Adlai Stevenson, Walt Whitman, and Thomas Jefferson (Maslow </w:t>
      </w:r>
      <w:hyperlink w:anchor="CR2">
        <w:r>
          <w:rPr>
            <w:rStyle w:val="Hyperlink"/>
            <w:rFonts w:ascii="Times New Roman"/>
            <w:i/>
            <w:color w:val="0000FF"/>
          </w:rPr>
          <w:t>1954</w:t>
        </w:r>
      </w:hyperlink>
      <w:r>
        <w:rPr>
          <w:rFonts w:ascii="Times New Roman"/>
          <w:color w:val="000000"/>
        </w:rPr>
        <w:t xml:space="preserve">/1970)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were relatively liberal. Being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liberal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in this case is distinct both from </w:t>
      </w:r>
      <w:r>
        <w:rPr>
          <w:rFonts w:ascii="Times New Roman"/>
          <w:color w:val="000000"/>
        </w:rPr>
        <w:t xml:space="preserve">being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conservative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(conventional, authoritarian) and from advocating something more </w:t>
      </w:r>
      <w:proofErr w:type="spellStart"/>
      <w:r>
        <w:rPr>
          <w:rFonts w:ascii="Times New Roman"/>
          <w:color w:val="000000"/>
        </w:rPr>
        <w:t>collectivistically</w:t>
      </w:r>
      <w:proofErr w:type="spellEnd"/>
      <w:r>
        <w:rPr>
          <w:rFonts w:ascii="Times New Roman"/>
          <w:color w:val="000000"/>
        </w:rPr>
        <w:t xml:space="preserve"> radical or </w:t>
      </w:r>
      <w:proofErr w:type="gramStart"/>
      <w:r>
        <w:rPr>
          <w:rFonts w:ascii="Times New Roman"/>
          <w:color w:val="000000"/>
        </w:rPr>
        <w:t>left-wing</w:t>
      </w:r>
      <w:proofErr w:type="gramEnd"/>
      <w:r>
        <w:rPr>
          <w:rFonts w:ascii="Times New Roman"/>
          <w:color w:val="000000"/>
        </w:rPr>
        <w:t>. This liberalism is consistent with the centrality of autonomy and independence from acculturation to the self-actualization conce</w:t>
      </w:r>
      <w:r>
        <w:rPr>
          <w:rFonts w:ascii="Times New Roman"/>
          <w:color w:val="000000"/>
        </w:rPr>
        <w:t>pt.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19" w:name="Par12"/>
      <w:bookmarkEnd w:id="18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 xml:space="preserve">It is true that </w:t>
      </w:r>
      <w:proofErr w:type="spellStart"/>
      <w:r>
        <w:rPr>
          <w:rFonts w:ascii="Times New Roman"/>
          <w:color w:val="000000"/>
        </w:rPr>
        <w:t>Malsow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s</w:t>
      </w:r>
      <w:proofErr w:type="spellEnd"/>
      <w:r>
        <w:rPr>
          <w:rFonts w:ascii="Times New Roman"/>
          <w:color w:val="000000"/>
        </w:rPr>
        <w:t xml:space="preserve"> list of historical self-actualizers included more radical figures like the socialist presidential candidate Eugene V. Debs and slavery resister Frederick Douglas, and that one of the living subjects of his study was a former un</w:t>
      </w:r>
      <w:r>
        <w:rPr>
          <w:rFonts w:ascii="Times New Roman"/>
          <w:color w:val="000000"/>
        </w:rPr>
        <w:t xml:space="preserve">ion organizer who had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given up in disgust and hopelessness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(Maslow </w:t>
      </w:r>
      <w:hyperlink w:anchor="CR2">
        <w:r>
          <w:rPr>
            <w:rStyle w:val="Hyperlink"/>
            <w:rFonts w:ascii="Times New Roman"/>
            <w:i/>
            <w:color w:val="0000FF"/>
          </w:rPr>
          <w:t>1954</w:t>
        </w:r>
      </w:hyperlink>
      <w:r>
        <w:rPr>
          <w:rFonts w:ascii="Times New Roman"/>
          <w:color w:val="000000"/>
        </w:rPr>
        <w:t xml:space="preserve">/1970, p. 172). However, Maslow noted that generally his self-actualizers were only potentially rather than actually radical. They showed a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calm, long-time co</w:t>
      </w:r>
      <w:r>
        <w:rPr>
          <w:rFonts w:ascii="Times New Roman"/>
          <w:color w:val="000000"/>
        </w:rPr>
        <w:t xml:space="preserve">ncern with culture improvement [and] </w:t>
      </w:r>
      <w:r>
        <w:rPr>
          <w:rFonts w:ascii="Times New Roman"/>
          <w:color w:val="000000"/>
        </w:rPr>
        <w:t>…</w:t>
      </w:r>
      <w:r>
        <w:rPr>
          <w:rFonts w:ascii="Times New Roman"/>
          <w:color w:val="000000"/>
        </w:rPr>
        <w:t xml:space="preserve"> an acceptance of slowness of change along with the unquestioned desirability and necessity of such change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(p. 172), qualities more characteristic of liberals.</w:t>
      </w:r>
    </w:p>
    <w:p w:rsidR="002342D3" w:rsidRDefault="002342D3" w:rsidP="005E5D25">
      <w:pPr>
        <w:spacing w:after="0"/>
      </w:pPr>
      <w:bookmarkStart w:id="20" w:name="Sec5"/>
      <w:bookmarkEnd w:id="19"/>
      <w:bookmarkEnd w:id="17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Conclusion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21" w:name="Par14"/>
    </w:p>
    <w:p w:rsidR="002342D3" w:rsidRDefault="005E5D25" w:rsidP="005E5D25">
      <w:pPr>
        <w:spacing w:after="0"/>
      </w:pPr>
      <w:r>
        <w:rPr>
          <w:rFonts w:ascii="Times New Roman"/>
          <w:color w:val="000000"/>
        </w:rPr>
        <w:t>Maslow's characterization of those with iden</w:t>
      </w:r>
      <w:r>
        <w:rPr>
          <w:rFonts w:ascii="Times New Roman"/>
          <w:color w:val="000000"/>
        </w:rPr>
        <w:t xml:space="preserve">tifiably liberal-seeming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creativeness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traits as the self-actualizers enjoying the highest possible expression of human potential is one potentially biased by Maslow's own affection for those traits. His characterization remains influential anyway and gen</w:t>
      </w:r>
      <w:r>
        <w:rPr>
          <w:rFonts w:ascii="Times New Roman"/>
          <w:color w:val="000000"/>
        </w:rPr>
        <w:t>erally uncontroversial in psychology, at least in Anglo-American psychology. Nevertheless, it is reasonable to assume that openness to experience, a delight in reconciling opposites, and spontaneous, expressive comfort with chaos characterizes some communi</w:t>
      </w:r>
      <w:r>
        <w:rPr>
          <w:rFonts w:ascii="Times New Roman"/>
          <w:color w:val="000000"/>
        </w:rPr>
        <w:t>ties and cultures more than others. These traits may also be unevenly distributed among the various cultural elites who enjoy the greatest satisfaction of other human needs in Maslow</w:t>
      </w:r>
      <w:r>
        <w:rPr>
          <w:rFonts w:ascii="Times New Roman"/>
          <w:color w:val="000000"/>
        </w:rPr>
        <w:t>’</w:t>
      </w:r>
      <w:r>
        <w:rPr>
          <w:rFonts w:ascii="Times New Roman"/>
          <w:color w:val="000000"/>
        </w:rPr>
        <w:t>s hierarchy. It is quite possible, then, that Maslow's characterization o</w:t>
      </w:r>
      <w:r>
        <w:rPr>
          <w:rFonts w:ascii="Times New Roman"/>
          <w:color w:val="000000"/>
        </w:rPr>
        <w:t xml:space="preserve">f </w:t>
      </w:r>
      <w:r>
        <w:rPr>
          <w:rFonts w:ascii="Times New Roman"/>
          <w:color w:val="000000"/>
        </w:rPr>
        <w:t>“</w:t>
      </w:r>
      <w:r>
        <w:rPr>
          <w:rFonts w:ascii="Times New Roman"/>
          <w:color w:val="000000"/>
        </w:rPr>
        <w:t>creativeness</w:t>
      </w:r>
      <w:r>
        <w:rPr>
          <w:rFonts w:ascii="Times New Roman"/>
          <w:color w:val="000000"/>
        </w:rPr>
        <w:t>”</w:t>
      </w:r>
      <w:r>
        <w:rPr>
          <w:rFonts w:ascii="Times New Roman"/>
          <w:color w:val="000000"/>
        </w:rPr>
        <w:t xml:space="preserve"> as an essential aspect of peak level human flourishing may not be culturally </w:t>
      </w:r>
      <w:proofErr w:type="spellStart"/>
      <w:r>
        <w:rPr>
          <w:rFonts w:ascii="Times New Roman"/>
          <w:color w:val="000000"/>
        </w:rPr>
        <w:t>generalizable</w:t>
      </w:r>
      <w:proofErr w:type="spellEnd"/>
      <w:r>
        <w:rPr>
          <w:rFonts w:ascii="Times New Roman"/>
          <w:color w:val="000000"/>
        </w:rPr>
        <w:t xml:space="preserve"> beyond the specific individualistic culture and historical period of social upheaval in which Maslow worked. The broad possibilities of cultural var</w:t>
      </w:r>
      <w:r>
        <w:rPr>
          <w:rFonts w:ascii="Times New Roman"/>
          <w:color w:val="000000"/>
        </w:rPr>
        <w:t>iation in what constitutes human flourishing remain largely unexplored.</w:t>
      </w:r>
    </w:p>
    <w:p w:rsidR="002342D3" w:rsidRDefault="002342D3" w:rsidP="005E5D25">
      <w:pPr>
        <w:spacing w:after="0"/>
      </w:pPr>
      <w:bookmarkStart w:id="22" w:name="Bib1"/>
      <w:bookmarkEnd w:id="21"/>
      <w:bookmarkEnd w:id="20"/>
    </w:p>
    <w:p w:rsidR="002342D3" w:rsidRDefault="005E5D25" w:rsidP="005E5D25">
      <w:pPr>
        <w:spacing w:after="0"/>
      </w:pPr>
      <w:r>
        <w:rPr>
          <w:rFonts w:ascii="Georgia"/>
          <w:color w:val="000000"/>
          <w:sz w:val="36"/>
        </w:rPr>
        <w:t>References</w:t>
      </w:r>
    </w:p>
    <w:p w:rsidR="005E5D25" w:rsidRDefault="005E5D25" w:rsidP="005E5D25">
      <w:pPr>
        <w:spacing w:after="0"/>
        <w:rPr>
          <w:rFonts w:ascii="Times New Roman"/>
          <w:color w:val="000000"/>
        </w:rPr>
      </w:pPr>
      <w:bookmarkStart w:id="23" w:name="CR1"/>
    </w:p>
    <w:p w:rsidR="002342D3" w:rsidRDefault="005E5D25" w:rsidP="005E5D25">
      <w:pPr>
        <w:spacing w:after="0"/>
      </w:pPr>
      <w:proofErr w:type="spellStart"/>
      <w:r>
        <w:rPr>
          <w:rFonts w:ascii="Times New Roman"/>
          <w:color w:val="000000"/>
        </w:rPr>
        <w:t>Jost</w:t>
      </w:r>
      <w:proofErr w:type="spellEnd"/>
      <w:r>
        <w:rPr>
          <w:rFonts w:ascii="Times New Roman"/>
          <w:color w:val="000000"/>
        </w:rPr>
        <w:t xml:space="preserve">, J. T., Glaser, J., </w:t>
      </w:r>
      <w:proofErr w:type="spellStart"/>
      <w:r>
        <w:rPr>
          <w:rFonts w:ascii="Times New Roman"/>
          <w:color w:val="000000"/>
        </w:rPr>
        <w:t>Kruglanski</w:t>
      </w:r>
      <w:proofErr w:type="spellEnd"/>
      <w:r>
        <w:rPr>
          <w:rFonts w:ascii="Times New Roman"/>
          <w:color w:val="000000"/>
        </w:rPr>
        <w:t xml:space="preserve">, A. W., &amp; </w:t>
      </w:r>
      <w:proofErr w:type="spellStart"/>
      <w:r>
        <w:rPr>
          <w:rFonts w:ascii="Times New Roman"/>
          <w:color w:val="000000"/>
        </w:rPr>
        <w:t>Sulloway</w:t>
      </w:r>
      <w:proofErr w:type="spellEnd"/>
      <w:r>
        <w:rPr>
          <w:rFonts w:ascii="Times New Roman"/>
          <w:color w:val="000000"/>
        </w:rPr>
        <w:t xml:space="preserve">, F. J. (2003). </w:t>
      </w:r>
      <w:proofErr w:type="gramStart"/>
      <w:r>
        <w:rPr>
          <w:rFonts w:ascii="Times New Roman"/>
          <w:color w:val="000000"/>
        </w:rPr>
        <w:t>Political conservatism as motivated social cognition.</w:t>
      </w:r>
      <w:proofErr w:type="gramEnd"/>
      <w:r>
        <w:rPr>
          <w:rFonts w:ascii="Times New Roman"/>
          <w:color w:val="000000"/>
        </w:rPr>
        <w:t xml:space="preserve"> </w:t>
      </w:r>
      <w:proofErr w:type="gramStart"/>
      <w:r>
        <w:rPr>
          <w:rFonts w:ascii="Times New Roman"/>
          <w:i/>
          <w:color w:val="000000"/>
        </w:rPr>
        <w:t>Psychological Bulletin, 129</w:t>
      </w:r>
      <w:r>
        <w:rPr>
          <w:rFonts w:ascii="Times New Roman"/>
          <w:color w:val="000000"/>
        </w:rPr>
        <w:t>, 339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>375.</w:t>
      </w:r>
      <w:proofErr w:type="gramEnd"/>
      <w:r>
        <w:rPr>
          <w:rFonts w:ascii="Times New Roman"/>
          <w:color w:val="000000"/>
        </w:rPr>
        <w:t xml:space="preserve"> </w:t>
      </w:r>
    </w:p>
    <w:p w:rsidR="002342D3" w:rsidRDefault="002342D3" w:rsidP="005E5D25">
      <w:pPr>
        <w:spacing w:after="0"/>
      </w:pPr>
      <w:hyperlink r:id="rId6">
        <w:proofErr w:type="spellStart"/>
        <w:r w:rsidR="005E5D25">
          <w:rPr>
            <w:rFonts w:ascii="Times New Roman"/>
            <w:color w:val="0000FF"/>
          </w:rPr>
          <w:t>CrossRef</w:t>
        </w:r>
        <w:proofErr w:type="spellEnd"/>
      </w:hyperlink>
      <w:r w:rsidR="005E5D25">
        <w:rPr>
          <w:rFonts w:ascii="Times New Roman"/>
          <w:color w:val="000000"/>
        </w:rPr>
        <w:t xml:space="preserve"> </w:t>
      </w:r>
      <w:hyperlink r:id="rId7">
        <w:proofErr w:type="spellStart"/>
        <w:r w:rsidR="005E5D25">
          <w:rPr>
            <w:rFonts w:ascii="Times New Roman"/>
            <w:color w:val="0000FF"/>
          </w:rPr>
          <w:t>PubMed</w:t>
        </w:r>
        <w:proofErr w:type="spellEnd"/>
      </w:hyperlink>
      <w:r w:rsidR="005E5D25">
        <w:rPr>
          <w:rFonts w:ascii="Times New Roman"/>
          <w:color w:val="000000"/>
        </w:rPr>
        <w:t xml:space="preserve"> </w:t>
      </w:r>
    </w:p>
    <w:bookmarkEnd w:id="23"/>
    <w:p w:rsidR="002342D3" w:rsidRDefault="002342D3" w:rsidP="005E5D25">
      <w:pPr>
        <w:spacing w:after="0"/>
      </w:pPr>
    </w:p>
    <w:p w:rsidR="002342D3" w:rsidRDefault="005E5D25" w:rsidP="005E5D25">
      <w:pPr>
        <w:spacing w:after="0"/>
      </w:pPr>
      <w:bookmarkStart w:id="24" w:name="CR2"/>
      <w:proofErr w:type="gramStart"/>
      <w:r>
        <w:rPr>
          <w:rFonts w:ascii="Times New Roman"/>
          <w:color w:val="000000"/>
        </w:rPr>
        <w:t>Maslow, A. H. (1954/1970).</w:t>
      </w:r>
      <w:proofErr w:type="gramEnd"/>
      <w:r>
        <w:rPr>
          <w:rFonts w:ascii="Times New Roman"/>
          <w:color w:val="000000"/>
        </w:rPr>
        <w:t xml:space="preserve"> </w:t>
      </w:r>
      <w:proofErr w:type="gramStart"/>
      <w:r>
        <w:rPr>
          <w:rFonts w:ascii="Times New Roman"/>
          <w:i/>
          <w:color w:val="000000"/>
        </w:rPr>
        <w:t>Motivation and Personality</w:t>
      </w:r>
      <w:r>
        <w:rPr>
          <w:rFonts w:ascii="Times New Roman"/>
          <w:color w:val="000000"/>
        </w:rPr>
        <w:t>.</w:t>
      </w:r>
      <w:proofErr w:type="gramEnd"/>
      <w:r>
        <w:rPr>
          <w:rFonts w:ascii="Times New Roman"/>
          <w:color w:val="000000"/>
        </w:rPr>
        <w:t xml:space="preserve"> New </w:t>
      </w:r>
      <w:r>
        <w:rPr>
          <w:rFonts w:ascii="Times New Roman"/>
          <w:color w:val="000000"/>
        </w:rPr>
        <w:t>York: Harper &amp; Row.</w:t>
      </w:r>
    </w:p>
    <w:bookmarkEnd w:id="24"/>
    <w:p w:rsidR="002342D3" w:rsidRDefault="002342D3" w:rsidP="005E5D25">
      <w:pPr>
        <w:spacing w:after="0"/>
      </w:pPr>
    </w:p>
    <w:p w:rsidR="002342D3" w:rsidRDefault="005E5D25" w:rsidP="005E5D25">
      <w:pPr>
        <w:spacing w:after="0"/>
      </w:pPr>
      <w:bookmarkStart w:id="25" w:name="CR3"/>
      <w:r>
        <w:rPr>
          <w:rFonts w:ascii="Times New Roman"/>
          <w:color w:val="000000"/>
        </w:rPr>
        <w:t xml:space="preserve">Maslow, A. H. (1962). </w:t>
      </w:r>
      <w:proofErr w:type="gramStart"/>
      <w:r>
        <w:rPr>
          <w:rFonts w:ascii="Times New Roman"/>
          <w:i/>
          <w:color w:val="000000"/>
        </w:rPr>
        <w:t>Toward a psychology of being</w:t>
      </w:r>
      <w:r>
        <w:rPr>
          <w:rFonts w:ascii="Times New Roman"/>
          <w:color w:val="000000"/>
        </w:rPr>
        <w:t>.</w:t>
      </w:r>
      <w:proofErr w:type="gramEnd"/>
      <w:r>
        <w:rPr>
          <w:rFonts w:ascii="Times New Roman"/>
          <w:color w:val="000000"/>
        </w:rPr>
        <w:t xml:space="preserve"> Princeton: Van </w:t>
      </w:r>
      <w:proofErr w:type="spellStart"/>
      <w:r>
        <w:rPr>
          <w:rFonts w:ascii="Times New Roman"/>
          <w:color w:val="000000"/>
        </w:rPr>
        <w:t>Norstrand</w:t>
      </w:r>
      <w:proofErr w:type="spellEnd"/>
      <w:r>
        <w:rPr>
          <w:rFonts w:ascii="Times New Roman"/>
          <w:color w:val="000000"/>
        </w:rPr>
        <w:t xml:space="preserve">. </w:t>
      </w:r>
    </w:p>
    <w:p w:rsidR="002342D3" w:rsidRDefault="002342D3" w:rsidP="005E5D25">
      <w:pPr>
        <w:spacing w:after="0"/>
      </w:pPr>
      <w:hyperlink r:id="rId8">
        <w:proofErr w:type="spellStart"/>
        <w:r w:rsidR="005E5D25">
          <w:rPr>
            <w:rFonts w:ascii="Times New Roman"/>
            <w:color w:val="0000FF"/>
          </w:rPr>
          <w:t>CrossRef</w:t>
        </w:r>
        <w:proofErr w:type="spellEnd"/>
      </w:hyperlink>
      <w:r w:rsidR="005E5D25">
        <w:rPr>
          <w:rFonts w:ascii="Times New Roman"/>
          <w:color w:val="000000"/>
        </w:rPr>
        <w:t xml:space="preserve"> </w:t>
      </w:r>
    </w:p>
    <w:bookmarkEnd w:id="25"/>
    <w:p w:rsidR="002342D3" w:rsidRDefault="005E5D25" w:rsidP="005E5D25">
      <w:pPr>
        <w:spacing w:after="0"/>
      </w:pPr>
      <w:r>
        <w:br/>
      </w:r>
    </w:p>
    <w:bookmarkEnd w:id="22"/>
    <w:sectPr w:rsidR="002342D3" w:rsidSect="002342D3">
      <w:pgSz w:w="11907" w:h="16839" w:code="9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2342D3"/>
    <w:rsid w:val="002342D3"/>
    <w:rsid w:val="005E5D2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2342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hansen@york.cuny.edu" TargetMode="External"/><Relationship Id="rId6" Type="http://schemas.openxmlformats.org/officeDocument/2006/relationships/hyperlink" Target="http://dx.doi.org/10.1037/0033-2909.129.3.339" TargetMode="External"/><Relationship Id="rId7" Type="http://schemas.openxmlformats.org/officeDocument/2006/relationships/hyperlink" Target="http://www.ncbi.nlm.nih.gov/entrez/query.fcgi?cmd=Retrieve&amp;db=PubMed&amp;dopt=Abstract&amp;list_uids=12784934" TargetMode="External"/><Relationship Id="rId8" Type="http://schemas.openxmlformats.org/officeDocument/2006/relationships/hyperlink" Target="http://dx.doi.org/10.1037/10793-00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1173</Words>
  <Characters>6691</Characters>
  <Application>Microsoft Macintosh Word</Application>
  <DocSecurity>0</DocSecurity>
  <Lines>55</Lines>
  <Paragraphs>13</Paragraphs>
  <ScaleCrop>false</ScaleCrop>
  <Company>York College, CUNY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Hansen</cp:lastModifiedBy>
  <cp:revision>2</cp:revision>
  <dcterms:created xsi:type="dcterms:W3CDTF">2018-01-15T12:25:00Z</dcterms:created>
  <dcterms:modified xsi:type="dcterms:W3CDTF">2018-01-15T12:30:00Z</dcterms:modified>
</cp:coreProperties>
</file>